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资料核对简报</w:t>
      </w:r>
    </w:p>
    <w:p>
      <w:pPr>
        <w:pStyle w:val="Normal"/>
      </w:pPr>
      <w:r>
        <w:t xml:space="preserve">本简报仅依据项目内两份资料整理：</w:t>
      </w:r>
      <w:r>
        <w:rPr>
          <w:rFonts w:ascii="Consolas" w:hAnsi="Consolas"/>
        </w:rPr>
        <w:t xml:space="preserve">项目简报.txt</w:t>
      </w:r>
      <w:r>
        <w:t xml:space="preserve">、</w:t>
      </w:r>
      <w:r>
        <w:rPr>
          <w:rFonts w:ascii="Consolas" w:hAnsi="Consolas"/>
        </w:rPr>
        <w:t xml:space="preserve">预算明细.txt</w:t>
      </w:r>
      <w:r>
        <w:t xml:space="preserve">。资料未提供的信息一律标注为「待确认」，不联网补编，不修改上述两份原资料。</w:t>
      </w:r>
    </w:p>
    <w:p>
      <w:pPr>
        <w:pStyle w:val="Heading2"/>
      </w:pPr>
      <w:r>
        <w:t xml:space="preserve">一、已知事实</w:t>
      </w:r>
    </w:p>
    <w:p>
      <w:pPr>
        <w:pStyle w:val="Heading3"/>
      </w:pPr>
      <w:r>
        <w:t xml:space="preserve">1. 活动基本信息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核对项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资料内容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来源文件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活动名称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春日新品发布会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活动主题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轻盈生活，从春日开始。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活动日期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2027年3月20日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场地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春日展厅（示例名称）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来宾规模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120人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产品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便携咖啡机（虚构示例）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视觉方向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柔和奶油白、浅绿与橙色点缀，清爽自然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</w:tbl>
    <w:p>
      <w:pPr>
        <w:pStyle w:val="Heading3"/>
      </w:pPr>
      <w:r>
        <w:t xml:space="preserve">2. 六段活动流程（共六段，时间连续、无空档）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序号</w:t>
            </w:r>
          </w:p>
        </w:tc>
        <w:tc>
          <w:tcPr>
            <w:tcW w:w="2409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时间段</w:t>
            </w:r>
          </w:p>
        </w:tc>
        <w:tc>
          <w:tcPr>
            <w:tcW w:w="2409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环节</w:t>
            </w:r>
          </w:p>
        </w:tc>
        <w:tc>
          <w:tcPr>
            <w:tcW w:w="2409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来源文件</w:t>
            </w:r>
          </w:p>
        </w:tc>
      </w:tr>
      <w:tr>
        <w:trPr>
          <w:cantSplit/>
        </w:trPr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1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14:00-14:30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来宾签到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2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14:30-14:40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主持开场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3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14:40-15:05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新品介绍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4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15:05-15:20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产品体验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5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15:20-15:35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交流答疑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6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15:35-16:00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自由体验与离场</w:t>
            </w:r>
          </w:p>
        </w:tc>
        <w:tc>
          <w:tcPr>
            <w:tcW w:w="2409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</w:tbl>
    <w:p>
      <w:pPr>
        <w:pStyle w:val="Normal"/>
      </w:pPr>
      <w:r>
        <w:t xml:space="preserve">六段起始 14:00、结束 16:00，各段首尾相接，未发现时间冲突或断档。</w:t>
      </w:r>
    </w:p>
    <w:p>
      <w:pPr>
        <w:pStyle w:val="Heading3"/>
      </w:pPr>
      <w:r>
        <w:t xml:space="preserve">3. 预算明细（逐项列出源表内容）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cantSplit/>
          <w:tblHeader/>
        </w:trPr>
        <w:tc>
          <w:tcPr>
            <w:tcW w:w="1927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类别</w:t>
            </w:r>
          </w:p>
        </w:tc>
        <w:tc>
          <w:tcPr>
            <w:tcW w:w="1927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项目</w:t>
            </w:r>
          </w:p>
        </w:tc>
        <w:tc>
          <w:tcPr>
            <w:tcW w:w="1927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数量</w:t>
            </w:r>
          </w:p>
        </w:tc>
        <w:tc>
          <w:tcPr>
            <w:tcW w:w="1927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单价（元）</w:t>
            </w:r>
          </w:p>
        </w:tc>
        <w:tc>
          <w:tcPr>
            <w:tcW w:w="1927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来源文件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场地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主会场租赁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24000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设备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灯光与音响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18000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物料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来宾礼包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120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160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餐饮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茶歇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120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100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人员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摄影与会务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12000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预留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应急备用金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10000</w:t>
            </w:r>
          </w:p>
        </w:tc>
        <w:tc>
          <w:tcPr>
            <w:tcW w:w="1927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</w:tr>
    </w:tbl>
    <w:p>
      <w:pPr>
        <w:pStyle w:val="Heading3"/>
      </w:pPr>
      <w:r>
        <w:t xml:space="preserve">4. 预算合计、上限与余量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预算上限</w:t>
      </w:r>
      <w:r>
        <w:t xml:space="preserve">：100000元（来源：预算明细.txt；项目简报.txt 亦记为 100000元，两处一致）。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预算合计</w:t>
      </w:r>
      <w:r>
        <w:t xml:space="preserve">：源表未列「总计行」，故无源文件给出的合计数字。按源表逐项相加的核算结果见下，供参考，非源表原文。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核算合计与余量</w:t>
      </w:r>
      <w:r>
        <w:t xml:space="preserve">（Cue·Wow 依源表逐项相加得出，非资料原文）：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项目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金额（元）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说明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主会场租赁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24000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 × 24000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灯光与音响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18000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 × 18000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来宾礼包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19200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120 × 160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茶歇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12000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120 × 100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摄影与会务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12000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 × 12000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应急备用金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10000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 × 10000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核算合计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95200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逐项相加，源表无总计时行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预算上限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100000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核算余量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4800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100000 − 95200</w:t>
            </w:r>
          </w:p>
        </w:tc>
      </w:tr>
    </w:tbl>
    <w:p>
      <w:pPr>
        <w:pStyle w:val="Normal"/>
      </w:pPr>
      <w:r>
        <w:t xml:space="preserve">说明：源资料仅提供单项估算值，未给出合计行与余量结论；上表 95200元与 4800元 为按源表数据核算所得，正式执行前需以供应商实际报价重新核算。</w:t>
      </w:r>
    </w:p>
    <w:p>
      <w:pPr>
        <w:pStyle w:val="Heading2"/>
      </w:pPr>
      <w:r>
        <w:t xml:space="preserve">二、资料出处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结论来源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文件名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引用内容要点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活动日期、场地、人数、流程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活动日期 2027年3月20日；春日展厅；120人；六段流程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预算上限、单项估算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总预算上限 100000元；6 个单项条目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预算上限（复核）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总预算上限：100000元，与预算明细一致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备注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预算明细.txt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「以上均为示例估算，正式执行前需与供应商确认」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备注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「这是一份公开虚构的业务示例资料」</w:t>
            </w:r>
          </w:p>
        </w:tc>
      </w:tr>
    </w:tbl>
    <w:p>
      <w:pPr>
        <w:pStyle w:val="Heading2"/>
      </w:pPr>
      <w:r>
        <w:t xml:space="preserve">三、待确认信息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待确认事项</w:t>
            </w:r>
          </w:p>
        </w:tc>
        <w:tc>
          <w:tcPr>
            <w:tcW w:w="4819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说明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客户名称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项目简报.txt 明确「客户名称与嘉宾名单尚未确定，不得杜撰」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嘉宾名单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同上，资料未提供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项目负责人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两份资料均未提供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供应商报价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预算明细.txt 备注：以上均为示例估算，正式执行前需与供应商确认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预算合计与余量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源表未列总计行，需在报价确认后正式核算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场地档期、设备清单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项目简报.txt 筹备要点载明「会前一周确认」</w:t>
            </w:r>
          </w:p>
        </w:tc>
      </w:tr>
    </w:tbl>
    <w:p>
      <w:pPr>
        <w:pStyle w:val="Normal"/>
      </w:pPr>
      <w:r>
        <w:t xml:space="preserve">以上待确认项均无资料依据，不作推断。</w:t>
      </w:r>
    </w:p>
    <w:sectPr>
      <w:pgSz w:w="11906" w:h="16838"/>
      <w:pgMar w:top="1134" w:right="1134" w:bottom="1134" w:left="1134" w:header="567" w:footer="567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pPr>
        <w:tabs>
          <w:tab w:val="num" w:pos="720"/>
        </w:tabs>
        <w:ind w:left="720" w:hanging="360"/>
      </w:pPr>
    </w:lvl>
  </w:abstractNum>
  <w:num w:numId="1">
    <w:abstractNumId w:val="0"/>
  </w:num>
  <w:abstractNum w:abstractNumId="1">
    <w:multiLevelType w:val="singleLevel"/>
    <w:lvl w:ilvl="0">
      <w:start w:val="1"/>
      <w:numFmt w:val="decimal"/>
      <w:lvlText w:val="%1."/>
      <w:pPr>
        <w:tabs>
          <w:tab w:val="num" w:pos="720"/>
        </w:tabs>
        <w:ind w:left="720" w:hanging="360"/>
      </w:pPr>
    </w:lvl>
  </w:abstract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微软雅黑"/>
        <w:sz w:val="22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80"/>
    </w:pPr>
    <w:rPr>
      <w:b/>
      <w:sz w:val="40"/>
    </w:rPr>
  </w:style>
  <w:style w:type="paragraph" w:styleId="Heading1">
    <w:name w:val="heading 1"/>
    <w:basedOn w:val="Normal"/>
    <w:pPr>
      <w:keepNext/>
      <w:outlineLvl w:val="0"/>
      <w:spacing w:before="240" w:after="120"/>
    </w:pPr>
    <w:rPr>
      <w:b/>
      <w:color w:val="1F2937"/>
      <w:sz w:val="32"/>
    </w:rPr>
  </w:style>
  <w:style w:type="paragraph" w:styleId="Heading2">
    <w:name w:val="heading 2"/>
    <w:basedOn w:val="Normal"/>
    <w:pPr>
      <w:keepNext/>
      <w:outlineLvl w:val="1"/>
      <w:spacing w:before="240" w:after="120"/>
    </w:pPr>
    <w:rPr>
      <w:b/>
      <w:color w:val="1F2937"/>
      <w:sz w:val="28"/>
    </w:rPr>
  </w:style>
  <w:style w:type="paragraph" w:styleId="Heading3">
    <w:name w:val="heading 3"/>
    <w:basedOn w:val="Normal"/>
    <w:pPr>
      <w:keepNext/>
      <w:outlineLvl w:val="2"/>
      <w:spacing w:before="240" w:after="120"/>
    </w:pPr>
    <w:rPr>
      <w:b/>
      <w:color w:val="1F2937"/>
      <w:sz w:val="24"/>
    </w:rPr>
  </w:style>
  <w:style w:type="paragraph" w:styleId="Heading4">
    <w:name w:val="heading 4"/>
    <w:basedOn w:val="Normal"/>
    <w:pPr>
      <w:keepNext/>
      <w:outlineLvl w:val="3"/>
      <w:spacing w:before="240" w:after="120"/>
    </w:pPr>
    <w:rPr>
      <w:b/>
      <w:color w:val="1F2937"/>
      <w:sz w:val="24"/>
    </w:rPr>
  </w:style>
  <w:style w:type="paragraph" w:styleId="Heading5">
    <w:name w:val="heading 5"/>
    <w:basedOn w:val="Normal"/>
    <w:pPr>
      <w:keepNext/>
      <w:outlineLvl w:val="4"/>
      <w:spacing w:before="240" w:after="120"/>
    </w:pPr>
    <w:rPr>
      <w:b/>
      <w:color w:val="1F2937"/>
      <w:sz w:val="24"/>
    </w:rPr>
  </w:style>
  <w:style w:type="paragraph" w:styleId="Heading6">
    <w:name w:val="heading 6"/>
    <w:basedOn w:val="Normal"/>
    <w:pPr>
      <w:keepNext/>
      <w:outlineLvl w:val="5"/>
      <w:spacing w:before="240" w:after="120"/>
    </w:pPr>
    <w:rPr>
      <w:b/>
      <w:color w:val="1F2937"/>
      <w:sz w:val="24"/>
    </w:rPr>
  </w:style>
  <w:style w:type="paragraph" w:styleId="Code">
    <w:name w:val="Code"/>
    <w:basedOn w:val="Normal"/>
    <w:pPr>
      <w:shd w:fill="F3F4F6"/>
    </w:pPr>
    <w:rPr>
      <w:rFonts w:ascii="Consolas" w:hAnsi="Consolas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